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 РАБОЧЕЙ ПРОГРАММЫ</w:t>
      </w:r>
    </w:p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bookmarkStart w:id="0" w:name="__DdeLink__99_2172240389"/>
      <w:r>
        <w:rPr>
          <w:b/>
          <w:bCs/>
          <w:sz w:val="32"/>
          <w:szCs w:val="32"/>
        </w:rPr>
        <w:t>Историко-экономическое введение</w:t>
      </w:r>
      <w:bookmarkEnd w:id="0"/>
      <w:r>
        <w:rPr>
          <w:b/>
          <w:bCs/>
          <w:sz w:val="32"/>
          <w:szCs w:val="32"/>
        </w:rPr>
        <w:t>»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Бакалавриат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Уровень высшего образования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38.03.02 «Менеджмент»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Вариативная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>Очная</w:t>
      </w:r>
    </w:p>
    <w:p>
      <w:pPr>
        <w:pStyle w:val="TextBody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>Форма обучения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</w:rPr>
        <w:t>Место дисциплины в структуре ОПОП ВО</w:t>
      </w:r>
      <w:r>
        <w:rPr/>
        <w:t>:  Дисциплина входит в вариативную часть основной образовательной программы подготовки (ОПОП), входит в блок подготовки по профилю «Менеджмент в области культуры», «Спортивный менеджмент», «Галерейный и музейный менеджмент» и является обязательной для изучения.</w:t>
      </w:r>
    </w:p>
    <w:p>
      <w:pPr>
        <w:pStyle w:val="Normal"/>
        <w:rPr>
          <w:b/>
          <w:b/>
          <w:i/>
          <w:i/>
          <w:iCs/>
        </w:rPr>
      </w:pPr>
      <w:r>
        <w:rPr>
          <w:b/>
        </w:rPr>
        <w:t>Результаты обучения по дисциплине, соотнесенные с требуемыми компетенциями выпускников</w:t>
      </w:r>
      <w:r>
        <w:rPr>
          <w:b/>
          <w:i/>
          <w:iCs/>
        </w:rPr>
        <w:t>.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b/>
        </w:rPr>
      </w:pPr>
      <w:r>
        <w:rPr>
          <w:b/>
        </w:rPr>
        <w:t>Компетенции выпускников, формируемые при реализации дисциплины:</w:t>
      </w:r>
    </w:p>
    <w:p>
      <w:pPr>
        <w:pStyle w:val="Normal"/>
        <w:numPr>
          <w:ilvl w:val="0"/>
          <w:numId w:val="1"/>
        </w:numPr>
        <w:tabs>
          <w:tab w:val="left" w:pos="993" w:leader="none"/>
        </w:tabs>
        <w:suppressAutoHyphens w:val="false"/>
        <w:spacing w:lineRule="auto" w:line="276" w:before="120" w:after="0"/>
        <w:ind w:left="0" w:firstLine="709"/>
        <w:rPr>
          <w:b/>
          <w:b/>
        </w:rPr>
      </w:pPr>
      <w:r>
        <w:rPr>
          <w:b/>
        </w:rPr>
        <w:t>общекультурные компетенции:</w:t>
      </w:r>
    </w:p>
    <w:p>
      <w:pPr>
        <w:pStyle w:val="ListParagraph"/>
        <w:shd w:val="clear" w:color="auto" w:fill="FFFFFF"/>
        <w:spacing w:lineRule="auto" w:line="276"/>
        <w:ind w:left="0" w:firstLine="709"/>
        <w:rPr>
          <w:szCs w:val="28"/>
        </w:rPr>
      </w:pPr>
      <w:r>
        <w:rPr>
          <w:szCs w:val="28"/>
        </w:rPr>
        <w:t>- способность использовать основы философских знаний для формирования мировоззренческой позиции (ОК-1);</w:t>
      </w:r>
    </w:p>
    <w:p>
      <w:pPr>
        <w:pStyle w:val="ListParagraph"/>
        <w:shd w:val="clear" w:color="auto" w:fill="FFFFFF"/>
        <w:spacing w:lineRule="auto" w:line="276"/>
        <w:ind w:left="0" w:firstLine="709"/>
        <w:rPr>
          <w:szCs w:val="28"/>
        </w:rPr>
      </w:pPr>
      <w:r>
        <w:rPr>
          <w:szCs w:val="28"/>
        </w:rPr>
        <w:t>- способность анализировать основные этапы и закономерности исторического развития общества для формирования гражданской позиции (ОК-2);</w:t>
      </w:r>
    </w:p>
    <w:p>
      <w:pPr>
        <w:pStyle w:val="ListParagraph"/>
        <w:shd w:val="clear" w:color="auto" w:fill="FFFFFF"/>
        <w:spacing w:lineRule="auto" w:line="276"/>
        <w:ind w:left="0" w:firstLine="709"/>
        <w:rPr>
          <w:szCs w:val="28"/>
        </w:rPr>
      </w:pPr>
      <w:r>
        <w:rPr>
          <w:szCs w:val="28"/>
        </w:rPr>
        <w:t>- способность использовать основы экономических знаний в различных сферах деятельности (ОК-3);</w:t>
      </w:r>
    </w:p>
    <w:p>
      <w:pPr>
        <w:pStyle w:val="ListParagraph"/>
        <w:shd w:val="clear" w:color="auto" w:fill="FFFFFF"/>
        <w:spacing w:lineRule="auto" w:line="276"/>
        <w:ind w:left="0" w:firstLine="709"/>
        <w:rPr>
          <w:szCs w:val="28"/>
        </w:rPr>
      </w:pPr>
      <w:r>
        <w:rPr>
          <w:szCs w:val="28"/>
        </w:rPr>
        <w:t>- способность к коммуникации в устной и письменной форме на русском и иностранном языках для решения задач межличностного и межкультурного взаимодействия (ОК-4);</w:t>
      </w:r>
    </w:p>
    <w:p>
      <w:pPr>
        <w:pStyle w:val="ListParagraph"/>
        <w:shd w:val="clear" w:color="auto" w:fill="FFFFFF"/>
        <w:spacing w:lineRule="auto" w:line="276"/>
        <w:ind w:left="0" w:firstLine="709"/>
        <w:rPr>
          <w:szCs w:val="28"/>
        </w:rPr>
      </w:pPr>
      <w:r>
        <w:rPr>
          <w:szCs w:val="28"/>
        </w:rPr>
        <w:t>- способность работать в коллективе, толерантно воспринимая социальные, этнические, конфессиональные и культурные различия (ОК-5);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- способность к самоорганизации и самообразованию (ОК-7);</w:t>
      </w:r>
    </w:p>
    <w:p>
      <w:pPr>
        <w:pStyle w:val="ListParagraph"/>
        <w:numPr>
          <w:ilvl w:val="0"/>
          <w:numId w:val="1"/>
        </w:numPr>
        <w:spacing w:before="240" w:after="0"/>
        <w:rPr>
          <w:szCs w:val="28"/>
        </w:rPr>
      </w:pPr>
      <w:r>
        <w:rPr>
          <w:b/>
        </w:rPr>
        <w:t>профессиональные компетенции:</w:t>
      </w:r>
    </w:p>
    <w:p>
      <w:pPr>
        <w:pStyle w:val="ListParagraph"/>
        <w:shd w:val="clear" w:color="auto" w:fill="FFFFFF"/>
        <w:spacing w:lineRule="auto" w:line="276"/>
        <w:ind w:left="0" w:firstLine="709"/>
        <w:rPr>
          <w:szCs w:val="28"/>
        </w:rPr>
      </w:pPr>
      <w:r>
        <w:rPr>
          <w:szCs w:val="28"/>
        </w:rPr>
        <w:t>-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>
      <w:pPr>
        <w:pStyle w:val="ListParagraph"/>
        <w:shd w:val="clear" w:color="auto" w:fill="FFFFFF"/>
        <w:spacing w:lineRule="auto" w:line="276"/>
        <w:ind w:left="0" w:firstLine="709"/>
        <w:rPr>
          <w:szCs w:val="28"/>
        </w:rPr>
      </w:pPr>
      <w:r>
        <w:rPr>
          <w:szCs w:val="28"/>
        </w:rPr>
        <w:t>-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(ПК-7).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  <w:t> </w:t>
      </w:r>
      <w:r>
        <w:rPr>
          <w:b/>
        </w:rPr>
        <w:t>Объем дисциплины</w:t>
      </w:r>
      <w:r>
        <w:rPr/>
        <w:t xml:space="preserve"> (модуля) составляет 2 з.е., в том числе 36 академических часов, отведенных на контактную работу обучающихся с преподавателем, 36 академических часов на самостоятельную работу обучающихся.</w:t>
      </w:r>
    </w:p>
    <w:p>
      <w:pPr>
        <w:pStyle w:val="Normal"/>
        <w:rPr>
          <w:b/>
          <w:b/>
        </w:rPr>
      </w:pPr>
      <w:r>
        <w:rPr>
          <w:b/>
        </w:rPr>
        <w:t>Форма промежуточной аттестации</w:t>
      </w:r>
      <w:r>
        <w:rPr/>
        <w:t xml:space="preserve"> - зачет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Основная литература:</w:t>
      </w:r>
    </w:p>
    <w:p>
      <w:pPr>
        <w:pStyle w:val="ListParagraph"/>
        <w:ind w:left="0" w:firstLine="567"/>
        <w:rPr/>
      </w:pPr>
      <w:r>
        <w:rPr/>
        <w:t>1. Мировая экономическая мысль. Сквозь призму веков: в 5 т. / Моск. гос. ун-т им. М.В. Ломоносова, Благотвор. фонд "Благосостояние для всех"; [науч.-ред. совет: Г. Г. Фетисов (сопред.), А. Г. Худокормов (сопред.) и др.]</w:t>
      </w:r>
      <w:r>
        <w:rPr>
          <w:rFonts w:eastAsia="Symbol" w:cs="Symbol" w:ascii="Symbol" w:hAnsi="Symbol"/>
        </w:rPr>
        <w:t></w:t>
      </w:r>
      <w:r>
        <w:rPr/>
        <w:t xml:space="preserve"> М.: Мысль, 2004-2005.</w:t>
      </w:r>
    </w:p>
    <w:p>
      <w:pPr>
        <w:pStyle w:val="ListParagraph"/>
        <w:ind w:left="0" w:firstLine="567"/>
        <w:rPr/>
      </w:pPr>
      <w:r>
        <w:rPr/>
        <w:t xml:space="preserve">2. Гловели, Г. Д. История экономических учений: учебное пособие для бакалавриата и специалитета / Г. Д. Гловели. </w:t>
      </w:r>
      <w:r>
        <w:rPr>
          <w:rFonts w:eastAsia="Symbol" w:cs="Symbol" w:ascii="Symbol" w:hAnsi="Symbol"/>
        </w:rPr>
        <w:t></w:t>
      </w:r>
      <w:r>
        <w:rPr/>
        <w:t xml:space="preserve"> 2-е изд., перераб. и доп. </w:t>
      </w:r>
      <w:r>
        <w:rPr>
          <w:rFonts w:eastAsia="Symbol" w:cs="Symbol" w:ascii="Symbol" w:hAnsi="Symbol"/>
        </w:rPr>
        <w:t></w:t>
      </w:r>
      <w:r>
        <w:rPr/>
        <w:t xml:space="preserve"> М.: Юрайт, 2019. </w:t>
      </w:r>
      <w:r>
        <w:rPr>
          <w:rFonts w:eastAsia="Symbol" w:cs="Symbol" w:ascii="Symbol" w:hAnsi="Symbol"/>
        </w:rPr>
        <w:t></w:t>
      </w:r>
      <w:r>
        <w:rPr/>
        <w:t xml:space="preserve"> 777 с.</w:t>
      </w:r>
    </w:p>
    <w:p>
      <w:pPr>
        <w:pStyle w:val="ListParagraph"/>
        <w:spacing w:lineRule="auto" w:line="360"/>
        <w:ind w:left="0" w:firstLine="567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227"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357227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rsid w:val="00357227"/>
    <w:pPr>
      <w:jc w:val="center"/>
    </w:pPr>
    <w:rPr>
      <w:rFonts w:eastAsia="Times New Roma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57227"/>
    <w:pPr>
      <w:suppressAutoHyphens w:val="false"/>
      <w:spacing w:lineRule="auto" w:line="240" w:before="0" w:after="0"/>
      <w:ind w:left="720" w:hanging="0"/>
      <w:contextualSpacing/>
    </w:pPr>
    <w:rPr>
      <w:rFonts w:eastAsia="Calibri" w:eastAsiaTheme="minorHAnsi"/>
      <w:kern w:val="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2</Pages>
  <Words>304</Words>
  <Characters>2225</Characters>
  <CharactersWithSpaces>2606</CharactersWithSpaces>
  <Paragraphs>29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2020-05-14T11:53:00Z</dcterms:created>
  <dc:creator>79032368428</dc:creator>
  <dc:description/>
  <dc:language>en-US</dc:language>
  <cp:lastModifiedBy>79032368428</cp:lastModifiedBy>
  <dcterms:modified xsi:type="dcterms:W3CDTF">2020-05-14T11:59:00Z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