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Инвестиции в искусство и спорт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Бакалавриат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 «Менеджмент»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  <w:t>Место дисциплины в структуре ОПОП ВО</w:t>
      </w:r>
    </w:p>
    <w:p>
      <w:pPr>
        <w:pStyle w:val="Normal"/>
        <w:rPr/>
      </w:pPr>
      <w:r>
        <w:rPr/>
        <w:t xml:space="preserve">Дисциплина является обязательной и относится к вариативной части профессионального цикла основной образовательной программы по направлению подготовки </w:t>
      </w:r>
      <w:r>
        <w:rPr>
          <w:spacing w:val="-4"/>
        </w:rPr>
        <w:t>«</w:t>
      </w:r>
      <w:r>
        <w:rPr/>
        <w:t>Менеджмент в культуре», «Менеджмент в спорте», «Галерейный и музейный менеджмент.</w:t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  <w:t>Результаты обучения по дисциплине: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Планируемые результаты по дисциплине</w:t>
      </w:r>
    </w:p>
    <w:p>
      <w:pPr>
        <w:pStyle w:val="Normal"/>
        <w:ind w:left="567" w:hanging="0"/>
        <w:rPr/>
      </w:pPr>
      <w:r>
        <w:rPr>
          <w:b/>
        </w:rPr>
        <w:t>Знать: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основные инвестиционные характеристики нефинансовых активов;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принципы ценообразования антиквариата и предметов коллекционирования;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основные направления использования нефинансовых активов в инвестиционной деятельности;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>особенности проведения операций с нефинансовыми активами;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/>
      </w:pPr>
      <w:r>
        <w:rPr>
          <w:szCs w:val="28"/>
        </w:rPr>
        <w:t>основные особенности функционирования аукционных домов и специализированных инвестиционных фондов;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/>
      </w:pPr>
      <w:r>
        <w:rPr>
          <w:szCs w:val="28"/>
        </w:rPr>
        <w:t>исторические аспекты формирования физической культуры и спорта, роль и функции спорта, современное состояние и перспективы развития спорта в России;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/>
      </w:pPr>
      <w:r>
        <w:rPr>
          <w:szCs w:val="28"/>
        </w:rPr>
        <w:t xml:space="preserve"> </w:t>
      </w:r>
      <w:r>
        <w:rPr>
          <w:szCs w:val="28"/>
        </w:rPr>
        <w:t>основные направления вложения инвестиций в индустрии спорта, роль спонсорства и государственно-частного партнерства при организации инвестиционной деятельности в сфере спорта;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/>
      </w:pPr>
      <w:r>
        <w:rPr>
          <w:szCs w:val="28"/>
        </w:rPr>
        <w:t>специфику оценки эффективности и рентабельности инвестиций в спорт;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/>
      </w:pPr>
      <w:r>
        <w:rPr>
          <w:szCs w:val="28"/>
        </w:rPr>
        <w:t>особенности использования спортивного беттинга в инвестиционной деятельности.</w:t>
      </w:r>
    </w:p>
    <w:p>
      <w:pPr>
        <w:pStyle w:val="Normal"/>
        <w:tabs>
          <w:tab w:val="left" w:pos="567" w:leader="none"/>
          <w:tab w:val="right" w:pos="8505" w:leader="underscore"/>
        </w:tabs>
        <w:spacing w:before="240" w:after="0"/>
        <w:ind w:left="567" w:hanging="0"/>
        <w:rPr>
          <w:b/>
          <w:b/>
        </w:rPr>
      </w:pP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применять инвестиционные стратегии на арт-рынке и в сфере спорта;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использовать полученные знания для выбора объекта инвестирования в области нефинансовых инструментов и спортивной сферы;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 xml:space="preserve">ориентироваться в особенностях государственного регулирования инвестиций на рынке нефинансовых активов и в сфере спорта;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>использовать возможности страхования объектов инвестирования на арт-рынке и в индустрии спорта, применять полученные знания на практике;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>оценивать эффективность и рентабельность инвестиций на арт-рынке и в спортивной индустрии;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uppressAutoHyphens w:val="false"/>
        <w:spacing w:lineRule="auto" w:line="240"/>
        <w:ind w:left="720" w:firstLine="273"/>
        <w:rPr>
          <w:szCs w:val="28"/>
        </w:rPr>
      </w:pPr>
      <w:r>
        <w:rPr>
          <w:szCs w:val="28"/>
        </w:rPr>
        <w:t>ориентироваться в последовательности действий инвестора на рынке спортивного беттинга.</w:t>
      </w:r>
    </w:p>
    <w:p>
      <w:pPr>
        <w:pStyle w:val="ListParagraph"/>
        <w:tabs>
          <w:tab w:val="left" w:pos="1276" w:leader="none"/>
        </w:tabs>
        <w:ind w:left="993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567" w:leader="none"/>
          <w:tab w:val="right" w:pos="8505" w:leader="underscore"/>
        </w:tabs>
        <w:ind w:left="567" w:hanging="0"/>
        <w:rPr>
          <w:b/>
          <w:b/>
        </w:rPr>
      </w:pPr>
      <w:r>
        <w:rPr>
          <w:b/>
        </w:rPr>
        <w:t>Владеть: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560" w:leader="none"/>
        </w:tabs>
        <w:suppressAutoHyphens w:val="false"/>
        <w:spacing w:lineRule="auto" w:line="240" w:before="80" w:after="0"/>
        <w:rPr>
          <w:szCs w:val="28"/>
        </w:rPr>
      </w:pPr>
      <w:r>
        <w:rPr>
          <w:szCs w:val="28"/>
        </w:rPr>
        <w:t>способами оценки инвестиционных характеристик образцов старинной мебели, антикварных книг, коллекционных вин, драгоценных камней, предметов нумизматики;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560" w:leader="none"/>
        </w:tabs>
        <w:suppressAutoHyphens w:val="false"/>
        <w:spacing w:lineRule="auto" w:line="240" w:before="80" w:after="0"/>
        <w:rPr>
          <w:szCs w:val="28"/>
        </w:rPr>
      </w:pPr>
      <w:r>
        <w:rPr>
          <w:szCs w:val="28"/>
        </w:rPr>
        <w:t>навыками применения полученных знаний на практике в целях использования альтернативных инструментов инвестирования арт-рынка и спортивной индустрии для диверсификации портфеля;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560" w:leader="none"/>
        </w:tabs>
        <w:suppressAutoHyphens w:val="false"/>
        <w:spacing w:lineRule="auto" w:line="240" w:before="80" w:after="0"/>
        <w:rPr>
          <w:szCs w:val="28"/>
        </w:rPr>
      </w:pPr>
      <w:r>
        <w:rPr>
          <w:szCs w:val="28"/>
        </w:rPr>
        <w:t>способностями оценки особенностей функционирования арт-рынка и индустрии спорта и с точки зрения эффективного вложения инвестиций;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560" w:leader="none"/>
        </w:tabs>
        <w:suppressAutoHyphens w:val="false"/>
        <w:spacing w:lineRule="auto" w:line="240" w:before="80" w:after="0"/>
        <w:rPr>
          <w:szCs w:val="28"/>
        </w:rPr>
      </w:pPr>
      <w:r>
        <w:rPr>
          <w:szCs w:val="28"/>
        </w:rPr>
        <w:t>навыками использования полученных знаний на рынке спортивного беттинга.</w:t>
      </w:r>
    </w:p>
    <w:p>
      <w:pPr>
        <w:pStyle w:val="Normal"/>
        <w:ind w:left="927" w:hanging="0"/>
        <w:rPr/>
      </w:pPr>
      <w:r>
        <w:rPr/>
      </w:r>
    </w:p>
    <w:p>
      <w:pPr>
        <w:pStyle w:val="Normal"/>
        <w:ind w:left="927" w:hanging="0"/>
        <w:rPr/>
      </w:pPr>
      <w:r>
        <w:rPr/>
        <w:t> </w:t>
      </w:r>
      <w:r>
        <w:rPr>
          <w:b/>
          <w:bCs/>
        </w:rPr>
        <w:t>Объем дисциплины составляет</w:t>
      </w:r>
      <w:r>
        <w:rPr/>
        <w:t xml:space="preserve"> __</w:t>
      </w:r>
      <w:r>
        <w:rPr>
          <w:u w:val="single"/>
        </w:rPr>
        <w:t>2</w:t>
      </w:r>
      <w:r>
        <w:rPr/>
        <w:t>___ з.е., в том числе _30____ академических часов, отведенных на контактную работу обучающихся с преподавателем, ___</w:t>
      </w:r>
      <w:r>
        <w:rPr>
          <w:u w:val="single"/>
        </w:rPr>
        <w:t>42</w:t>
      </w:r>
      <w:r>
        <w:rPr/>
        <w:t xml:space="preserve">__ академических часа на самостоятельную работу обучающихся. </w:t>
      </w:r>
    </w:p>
    <w:p>
      <w:pPr>
        <w:pStyle w:val="Normal"/>
        <w:rPr/>
      </w:pPr>
      <w:r>
        <w:rPr/>
        <w:t>Форма промежуточной аттестации – зачет.</w:t>
      </w:r>
    </w:p>
    <w:p>
      <w:pPr>
        <w:pStyle w:val="Normal"/>
        <w:rPr/>
      </w:pPr>
      <w:r>
        <w:rPr/>
      </w:r>
    </w:p>
    <w:p>
      <w:pPr>
        <w:pStyle w:val="ListParagraph"/>
        <w:ind w:left="0" w:firstLine="567"/>
        <w:rPr>
          <w:b/>
          <w:b/>
        </w:rPr>
      </w:pPr>
      <w:r>
        <w:rPr>
          <w:b/>
        </w:rPr>
        <w:t>Основная литература:</w:t>
      </w:r>
    </w:p>
    <w:p>
      <w:pPr>
        <w:pStyle w:val="ListParagraph"/>
        <w:spacing w:before="0" w:after="240"/>
        <w:ind w:left="0" w:firstLine="567"/>
        <w:contextualSpacing/>
        <w:rPr/>
      </w:pPr>
      <w:r>
        <w:rPr/>
        <w:t>1. Аскинадзи, В. М. Инвестиции: учебник для бакалавров / В. М. Аскинадзи, В. Ф. Максимова. — М.: Юрайт, 2019. — 422 с. — (Серия: Бакалавр. Базовый курс).</w:t>
      </w:r>
      <w:bookmarkStart w:id="0" w:name="_Hlk25845642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501" w:hanging="360"/>
      </w:pPr>
      <w:rPr>
        <w:i w:val="false"/>
        <w:b/>
        <w:bCs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05a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ar-SA" w:val="ru-RU" w:bidi="ar-SA"/>
    </w:rPr>
  </w:style>
  <w:style w:type="paragraph" w:styleId="Heading1">
    <w:name w:val="Heading 1"/>
    <w:link w:val="10"/>
    <w:uiPriority w:val="9"/>
    <w:qFormat/>
    <w:rsid w:val="0055105a"/>
    <w:pPr>
      <w:widowControl w:val="false"/>
      <w:numPr>
        <w:ilvl w:val="0"/>
        <w:numId w:val="1"/>
      </w:numPr>
      <w:suppressAutoHyphens w:val="false"/>
      <w:spacing w:lineRule="auto" w:line="240" w:before="240" w:after="120"/>
      <w:ind w:left="0" w:hanging="0"/>
      <w:jc w:val="left"/>
      <w:outlineLvl w:val="0"/>
    </w:pPr>
    <w:rPr>
      <w:rFonts w:eastAsia="Calibri" w:eastAsiaTheme="minorHAnsi" w:ascii="Calibri" w:hAnsi="Calibri" w:cs=""/>
      <w:b/>
      <w:color w:val="auto"/>
      <w:kern w:val="0"/>
      <w:sz w:val="24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4"/>
    <w:qFormat/>
    <w:rsid w:val="0055105a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55105a"/>
    <w:rPr>
      <w:rFonts w:ascii="Times New Roman" w:hAnsi="Times New Roman" w:cs="Times New Roman"/>
      <w:b/>
      <w:sz w:val="24"/>
      <w:szCs w:val="24"/>
    </w:rPr>
  </w:style>
  <w:style w:type="character" w:styleId="ListLabel1">
    <w:name w:val="ListLabel 1"/>
    <w:qFormat/>
    <w:rPr>
      <w:b/>
      <w:bCs/>
      <w:i w:val="fals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5"/>
    <w:rsid w:val="0055105a"/>
    <w:pPr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5105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2</Pages>
  <Words>360</Words>
  <Characters>2713</Characters>
  <CharactersWithSpaces>3134</CharactersWithSpaces>
  <Paragraphs>41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2020-05-14T12:06:00Z</dcterms:created>
  <dc:creator>79032368428</dc:creator>
  <dc:description/>
  <dc:language>en-US</dc:language>
  <cp:lastModifiedBy>79032368428</cp:lastModifiedBy>
  <dcterms:modified xsi:type="dcterms:W3CDTF">2020-05-14T12:17:00Z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