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>
      <w:pPr>
        <w:pStyle w:val="Normal"/>
        <w:jc w:val="center"/>
        <w:rPr>
          <w:b/>
          <w:b/>
          <w:sz w:val="32"/>
          <w:szCs w:val="32"/>
        </w:rPr>
      </w:pPr>
      <w:bookmarkStart w:id="0" w:name="__DdeLink__246_4246613076"/>
      <w:r>
        <w:rPr>
          <w:b/>
          <w:sz w:val="32"/>
          <w:szCs w:val="32"/>
        </w:rPr>
        <w:t>История зарубежного театра</w:t>
      </w:r>
      <w:bookmarkEnd w:id="0"/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Специалитет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 «Продюсерство»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«Продюсер исполнительских искусств»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Heading2"/>
        <w:jc w:val="left"/>
        <w:rPr>
          <w:sz w:val="24"/>
        </w:rPr>
      </w:pPr>
      <w:r>
        <w:rPr>
          <w:b/>
          <w:sz w:val="24"/>
        </w:rPr>
        <w:t xml:space="preserve">Место дисциплины в структуре ОПОП ВО </w:t>
      </w:r>
      <w:r>
        <w:rPr>
          <w:sz w:val="24"/>
        </w:rPr>
        <w:t>относится к вариативной  части.</w:t>
      </w:r>
    </w:p>
    <w:p>
      <w:pPr>
        <w:pStyle w:val="Normal"/>
        <w:shd w:val="clear" w:color="auto" w:fill="FFFFFF"/>
        <w:tabs>
          <w:tab w:val="left" w:pos="413" w:leader="none"/>
        </w:tabs>
        <w:spacing w:lineRule="exact" w:line="355" w:before="5" w:after="0"/>
        <w:rPr/>
      </w:pPr>
      <w:r>
        <w:rPr/>
        <w:t>Результаты обучения по дисциплине, соотнесенные с требуемыми компетенциями выпускников.</w:t>
      </w:r>
    </w:p>
    <w:p>
      <w:pPr>
        <w:pStyle w:val="Normal"/>
        <w:spacing w:lineRule="auto" w:line="360"/>
        <w:rPr>
          <w:rFonts w:ascii="TimesNewRomanPSMT" w:hAnsi="TimesNewRomanPSMT" w:cs="TimesNewRomanPSMT"/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Результаты обучения по дисциплине.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Symbol" w:ascii="Symbol" w:hAnsi="Symbol"/>
          <w:sz w:val="28"/>
          <w:szCs w:val="28"/>
        </w:rPr>
        <w:t></w:t>
      </w:r>
      <w:r>
        <w:rPr>
          <w:rFonts w:cs="TimesNewRomanPSMT" w:ascii="TimesNewRomanPSMT" w:hAnsi="TimesNewRomanPSMT"/>
          <w:sz w:val="28"/>
          <w:szCs w:val="28"/>
        </w:rPr>
        <w:t>Способность ориентироваться в ценностях бытия, жизни, культуры (ОК-1);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Symbol" w:ascii="Symbol" w:hAnsi="Symbol"/>
          <w:sz w:val="28"/>
          <w:szCs w:val="28"/>
        </w:rPr>
        <w:t></w:t>
      </w:r>
      <w:r>
        <w:rPr>
          <w:rFonts w:cs="TimesNewRomanPSMT" w:ascii="TimesNewRomanPSMT" w:hAnsi="TimesNewRomanPSMT"/>
          <w:sz w:val="28"/>
          <w:szCs w:val="28"/>
        </w:rPr>
        <w:t>Способность ориентироваться в базовых положениях истории и теории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мировой художественной культуры, применять их с учетом собственной рыночной экономики (ПК-1);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Способность оценивать художественные произведения (ПК-1);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Способность самостоятельно или в составе группы вести научный поиск,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реализуя специальные средства и методы получения нового знания (ПК-6);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Способность выстраивать взаимоотношения с авторами (правообладателями) литературных, музыкальных и других произведений, используя при этом знания в области искусства (ПК-13).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дисциплины обучающийся должен: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b/>
          <w:i/>
          <w:sz w:val="28"/>
          <w:szCs w:val="28"/>
        </w:rPr>
        <w:t xml:space="preserve">Знать: </w:t>
      </w:r>
      <w:r>
        <w:rPr>
          <w:rFonts w:cs="TimesNewRomanPSMT" w:ascii="TimesNewRomanPSMT" w:hAnsi="TimesNewRomanPSMT"/>
          <w:sz w:val="28"/>
          <w:szCs w:val="28"/>
        </w:rPr>
        <w:t>закономерности развития театрального искусства в Европе;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специфику выразительных средств театра;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исторические факты и имена, связанные с формированием драматургии и конкретных театров.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b/>
          <w:i/>
          <w:sz w:val="28"/>
          <w:szCs w:val="28"/>
        </w:rPr>
        <w:t xml:space="preserve">Уметь: </w:t>
      </w:r>
      <w:r>
        <w:rPr>
          <w:rFonts w:cs="TimesNewRomanPSMT" w:ascii="TimesNewRomanPSMT" w:hAnsi="TimesNewRomanPSMT"/>
          <w:sz w:val="28"/>
          <w:szCs w:val="28"/>
        </w:rPr>
        <w:t xml:space="preserve">анализировать драматические произведения, 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ориентироваться в специальной литературе, посвященной театру.</w:t>
      </w:r>
    </w:p>
    <w:p>
      <w:pPr>
        <w:pStyle w:val="Normal"/>
        <w:rPr>
          <w:rFonts w:ascii="TimesNewRomanPSMT" w:hAnsi="TimesNewRomanPSMT" w:cs="TimesNewRomanPSMT"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  <w:r>
        <w:rPr>
          <w:rFonts w:cs="TimesNewRomanPSMT" w:ascii="TimesNewRomanPSMT" w:hAnsi="TimesNewRomanPSMT"/>
          <w:sz w:val="28"/>
          <w:szCs w:val="28"/>
        </w:rPr>
        <w:t>навыками научно-исследовательской работы в области истории и</w:t>
      </w:r>
    </w:p>
    <w:p>
      <w:pPr>
        <w:pStyle w:val="Normal"/>
        <w:spacing w:lineRule="auto" w:line="360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  <w:t>теории театрального искусства.</w:t>
      </w:r>
    </w:p>
    <w:p>
      <w:pPr>
        <w:pStyle w:val="Normal"/>
        <w:shd w:val="clear" w:color="auto" w:fill="FFFFFF"/>
        <w:spacing w:lineRule="exact" w:line="293" w:before="178" w:after="0"/>
        <w:rPr>
          <w:sz w:val="26"/>
          <w:szCs w:val="26"/>
        </w:rPr>
      </w:pPr>
      <w:r>
        <w:rPr>
          <w:b/>
          <w:spacing w:val="-3"/>
          <w:sz w:val="28"/>
          <w:szCs w:val="28"/>
        </w:rPr>
        <w:t xml:space="preserve">  </w:t>
      </w:r>
      <w:r>
        <w:rPr>
          <w:b/>
          <w:sz w:val="28"/>
          <w:szCs w:val="28"/>
        </w:rPr>
        <w:t>Объем дисциплины составляет: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2 з.е., в том числе 36 академических часов, отведенных на контактную работу  обучающихся с преподавателем,  36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</w:rPr>
        <w:t>Форма промежуточной аттестации</w:t>
      </w:r>
      <w:r>
        <w:rPr/>
        <w:t xml:space="preserve"> – зачет.</w:t>
      </w:r>
    </w:p>
    <w:p>
      <w:pPr>
        <w:pStyle w:val="Normal"/>
        <w:shd w:val="clear" w:color="auto" w:fill="FFFFFF"/>
        <w:spacing w:lineRule="exact" w:line="307"/>
        <w:rPr>
          <w:b/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Основная литература:</w:t>
      </w:r>
    </w:p>
    <w:p>
      <w:pPr>
        <w:pStyle w:val="Normal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драматургия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1) Эсхил. Агамемнон. Перевод Вяч. Иванова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Печатается по книге: Эсхил. Трагедии. - М.: Наука, 1989, с. 161-195.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2) Еврипид. Медея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(Перевод И. Анненского).Еврипид  </w:t>
      </w:r>
      <w:r>
        <w:rPr>
          <w:rFonts w:cs="Times New Roman" w:ascii="Times New Roman" w:hAnsi="Times New Roman"/>
          <w:color w:val="000000"/>
          <w:sz w:val="28"/>
          <w:szCs w:val="28"/>
        </w:rPr>
        <w:t>Трагедии. В 2 томах. Т. 1."Литературные памятники", М., Наука, Ладомир, 1999 OCR Бычков М.Н.</w:t>
      </w:r>
    </w:p>
    <w:p>
      <w:pPr>
        <w:pStyle w:val="Normal"/>
        <w:ind w:right="1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3) Еврипид. Киклоп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И. Анненского).</w:t>
      </w:r>
      <w:r>
        <w:rPr>
          <w:color w:val="000000"/>
          <w:sz w:val="28"/>
          <w:szCs w:val="28"/>
          <w:shd w:fill="FFFFFF" w:val="clear"/>
        </w:rPr>
        <w:t xml:space="preserve"> Перевод Иннокентия Анненского. Еврипид. Трагедии. В 2 томах. Т. 2.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"Литературные памятники", М., Наука, Ладомир, 1999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4) </w:t>
      </w:r>
      <w:r>
        <w:rPr>
          <w:rFonts w:cs="Times New Roman" w:ascii="Times New Roman" w:hAnsi="Times New Roman"/>
          <w:color w:val="000000"/>
          <w:sz w:val="28"/>
          <w:szCs w:val="28"/>
        </w:rPr>
        <w:t>Amphitriuo.Перевод с латинского А. Артюшкова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Комментарии составлены на основе работ М. Покровского Собрание сочинений в 3-х томах. Т. 2. М.: "Терра", 1997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OCR Бычков М.Н.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5) Кальдерон. Жизнь есть сон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>(Перевод К.Бальмонта).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Педро Кальдерон де ла Барка. Драмы. В двух книгах. Книга вторая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Издание подготовили Н. И. Балашов, Д. Г. Макогоненко</w:t>
      </w:r>
    </w:p>
    <w:p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"Литературные памятники", М., "Наука", 1989</w:t>
      </w:r>
    </w:p>
    <w:p>
      <w:pPr>
        <w:pStyle w:val="Normal"/>
        <w:ind w:right="1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6) </w:t>
      </w: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Гольдони. Слуга двух господ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М.Гальперина).</w:t>
      </w:r>
    </w:p>
    <w:p>
      <w:pPr>
        <w:pStyle w:val="Normal"/>
        <w:ind w:right="1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Гоцци. Турандот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М.Лозинского).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Шекспир. Гамлет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Б.Пастернака).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Шекспир. Ричард III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М. Донского).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Шекспир. Ромео и Джульетта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О.Сороки).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Шекспир. Укрощение строптивой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П.Гнедича).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Шекспир. Буря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М.Донского).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Мольер. Тартюф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М.Лозинского).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Мольер. Дон Жуан.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Расин. Федра.</w:t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Корнель. Сид.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Бомарше. Женитьба Фигаро.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Шеридан. Школа злословия.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Лессинг. Натан Мудрый.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Гёте. Фауст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Б. Пастернака)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Шиллер. Коварство и любовь.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Клейст. Разбитый кувшин. 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Байрон. Каин.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Скриб. Стакан воды.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Гюго. Эрнани.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Уайльд О. Как важно быть серьёзным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Шоу Б. Пигмалион. 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Ростан. Сирано де Бержерак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Жарри А. Король-Убю. 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Ибсен Г. Кукольный дом. Дикая утка. 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Стриндберг А. Фрекен Жюли.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Метерлинк М. Слепые. Синяя птица.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Гауптман Г. Перед заходом солнца.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Брехт Б. Трехгрошовая опера. Мамаша Кураж и ее дети.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О`Нил. Любовь под вязами.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Жироду Ж. Троянской войны не будет.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Сартр Ж.-П. Мухи.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Ануй Ж. Антигона.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Ионеско Э. Лысая певица.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Беккет С. В ожидании Годо.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Осборн Д. Оглянись во гневе.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Миллер А. Смерть коммивояжера. 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Уильямс Т. Трамвай "Желание". Стеклянный зверинец.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Уайлдер Т. Наш городок.</w:t>
      </w:r>
    </w:p>
    <w:p>
      <w:pPr>
        <w:pStyle w:val="Normal"/>
        <w:ind w:left="-30"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Вайс П. Дознание.</w:t>
      </w:r>
    </w:p>
    <w:p>
      <w:pPr>
        <w:pStyle w:val="Normal"/>
        <w:ind w:left="-3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Мюллер Х. Гамлет-машина.</w:t>
      </w:r>
    </w:p>
    <w:p>
      <w:pPr>
        <w:pStyle w:val="Normal"/>
        <w:ind w:left="-3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Макдонах М. Калека с острова Инишмаан.</w:t>
      </w:r>
    </w:p>
    <w:p>
      <w:pPr>
        <w:pStyle w:val="Normal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теоретическая литература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«История зарубежного театра». Спб., 2005.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 xml:space="preserve">Аристотель. Поэтика </w:t>
      </w:r>
      <w:r>
        <w:rPr>
          <w:rFonts w:eastAsia="Times New Roman"/>
          <w:i/>
          <w:iCs/>
          <w:color w:val="000000"/>
          <w:sz w:val="28"/>
          <w:szCs w:val="28"/>
          <w:shd w:fill="FFFFFF" w:val="clear"/>
          <w:lang w:eastAsia="ru-RU"/>
        </w:rPr>
        <w:t>(Перевод В.Аппельрота).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Буало Н. Поэтическое искусство.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Дидро Д. Парадокс об актёре.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Лессинг Г.Э. Гамбургская драматургия.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Корнель П. Рассуждения о полезности и частях драматического произведения.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Трубочкин Д.В. Античная литература и драматургия.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Бартошевич А. В.  Шекспир. Англия. XX век (глава “Для кого написан “Гамлет”).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Котт Я. Шекспир – наш современник (главы “Гамлет середины века” и “Палочка Просперо”).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Бояджиев Г.Н. Вечно прекрасный театр эпохи Возрождения. Италия. Испания. Англия.</w:t>
      </w:r>
    </w:p>
    <w:p>
      <w:pPr>
        <w:pStyle w:val="Normal"/>
        <w:ind w:right="1220" w:hanging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eastAsia="ru-RU"/>
        </w:rPr>
        <w:t>Силюнас В.Ю. Театр золотого века.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Арто А. Театр и его двойник М., 1993.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Брук П. Пустое пространство. М., 1976.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ГротовскийЕ. К Бедному театру. М., 2009.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Стрелер Д. Театр для людей. М., 1984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Брехт Б. Теория эпического театра // Брехт Б. Театр: В 5 т. М.: Искусство, 1965. Т. 5/2. С. 7 – 274; Брехт Б. Покупка меди // Там же. С. 277 – 476.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Крэг Э. Г. Актер и сверхмарионетка // Крэг Э. Г. Воспоминания. Статьи. Письма. М.: Искусство, 1988. С. 212 – 233.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MT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22f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ar-SA" w:val="ru-RU" w:bidi="ar-SA"/>
    </w:rPr>
  </w:style>
  <w:style w:type="paragraph" w:styleId="Heading2">
    <w:name w:val="Heading 2"/>
    <w:basedOn w:val="Normal"/>
    <w:link w:val="20"/>
    <w:qFormat/>
    <w:rsid w:val="006f122f"/>
    <w:pPr>
      <w:keepNext w:val="true"/>
      <w:suppressAutoHyphens w:val="false"/>
      <w:spacing w:lineRule="auto" w:line="240"/>
      <w:jc w:val="center"/>
      <w:outlineLvl w:val="1"/>
    </w:pPr>
    <w:rPr>
      <w:rFonts w:eastAsia="Times New Roman"/>
      <w:kern w:val="0"/>
      <w:sz w:val="4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qFormat/>
    <w:rsid w:val="006f122f"/>
    <w:rPr>
      <w:rFonts w:ascii="Times New Roman" w:hAnsi="Times New Roman" w:eastAsia="Times New Roman" w:cs="Times New Roman"/>
      <w:sz w:val="40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6f122f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6f122f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6f122f"/>
    <w:pPr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f122f"/>
    <w:pPr>
      <w:suppressAutoHyphens w:val="false"/>
      <w:spacing w:lineRule="auto" w:line="240" w:beforeAutospacing="1" w:afterAutospacing="1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6f122f"/>
    <w:pPr>
      <w:suppressAutoHyphens w:val="false"/>
      <w:spacing w:lineRule="auto" w:line="240" w:beforeAutospacing="1" w:afterAutospacing="1"/>
      <w:jc w:val="left"/>
    </w:pPr>
    <w:rPr>
      <w:rFonts w:eastAsia="Times New Roman"/>
      <w:kern w:val="0"/>
      <w:lang w:eastAsia="ru-RU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6f122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/>
      <w:jc w:val="left"/>
    </w:pPr>
    <w:rPr>
      <w:rFonts w:ascii="Courier New" w:hAnsi="Courier New" w:eastAsia="Times New Roman" w:cs="Courier New"/>
      <w:kern w:val="0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6</Pages>
  <Words>647</Words>
  <Characters>4249</Characters>
  <CharactersWithSpaces>4946</CharactersWithSpaces>
  <Paragraphs>104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2020-05-19T12:06:00Z</dcterms:created>
  <dc:creator>79032368428</dc:creator>
  <dc:description/>
  <dc:language>en-US</dc:language>
  <cp:lastModifiedBy/>
  <dcterms:modified xsi:type="dcterms:W3CDTF">2020-05-28T16:15:19Z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