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>
          <w:rFonts w:ascii="Calibri Light" w:hAnsi="Calibri Light" w:eastAsia="Times New Roman" w:cs="Calibri Light" w:asciiTheme="majorHAnsi" w:cstheme="majorHAnsi" w:hAnsiTheme="majorHAnsi"/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 xml:space="preserve">                                                         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>АННОТАЦИЯ РАБОЧЕЙ ПРОГРАММЫ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>Наименование дисциплины (модуля):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bookmarkStart w:id="0" w:name="__DdeLink__267_589356803"/>
      <w:r>
        <w:rPr>
          <w:rFonts w:cs="Calibri Light" w:ascii="Calibri Light" w:hAnsi="Calibri Light" w:asciiTheme="majorHAnsi" w:cstheme="majorHAnsi" w:hAnsiTheme="majorHAnsi"/>
          <w:b/>
          <w:bCs/>
        </w:rPr>
        <w:t>Введение в специальность</w:t>
      </w:r>
      <w:bookmarkEnd w:id="0"/>
    </w:p>
    <w:p>
      <w:pPr>
        <w:pStyle w:val="Normal"/>
        <w:pBdr>
          <w:bottom w:val="single" w:sz="4" w:space="1" w:color="000000"/>
        </w:pBdr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 xml:space="preserve">                                                              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0"/>
        </w:pBdr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i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iCs/>
        </w:rPr>
        <w:t>Специалитет</w:t>
      </w:r>
    </w:p>
    <w:p>
      <w:pPr>
        <w:pStyle w:val="Normal"/>
        <w:pBdr>
          <w:bottom w:val="single" w:sz="4" w:space="1" w:color="000000"/>
        </w:pBdr>
        <w:spacing w:lineRule="auto" w:line="360"/>
        <w:rPr>
          <w:rFonts w:ascii="Calibri Light" w:hAnsi="Calibri Light" w:eastAsia="Times New Roman" w:cs="Calibri Light" w:asciiTheme="majorHAnsi" w:cstheme="majorHAnsi" w:hAnsiTheme="majorHAnsi"/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iCs/>
        </w:rPr>
        <w:t xml:space="preserve">                                                  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>55.05.04 «Продюсерство»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rFonts w:ascii="Calibri Light" w:hAnsi="Calibri Light" w:eastAsia="Times New Roman" w:cs="Calibri Light" w:asciiTheme="majorHAnsi" w:cstheme="majorHAnsi" w:hAnsiTheme="majorHAnsi"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</w:rPr>
        <w:t xml:space="preserve">Базовая 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</w:rPr>
        <w:t>Форма обучения: очная</w:t>
      </w:r>
    </w:p>
    <w:p>
      <w:pPr>
        <w:pStyle w:val="NoSpacing"/>
        <w:jc w:val="center"/>
        <w:rPr>
          <w:rFonts w:ascii="Calibri Light" w:hAnsi="Calibri Light" w:cs="Calibri Light" w:asciiTheme="majorHAnsi" w:cstheme="majorHAnsi" w:hAnsiTheme="majorHAnsi"/>
          <w:b/>
          <w:b/>
          <w:sz w:val="22"/>
          <w:szCs w:val="22"/>
          <w:lang w:val="ru-RU" w:eastAsia="ru-RU"/>
        </w:rPr>
      </w:pPr>
      <w:r>
        <w:rPr>
          <w:rFonts w:cs="Calibri Light" w:cstheme="majorHAnsi" w:ascii="Calibri Light" w:hAnsi="Calibri Light"/>
          <w:b/>
          <w:sz w:val="22"/>
          <w:szCs w:val="22"/>
          <w:lang w:val="ru-RU" w:eastAsia="ru-RU"/>
        </w:rPr>
      </w:r>
    </w:p>
    <w:p>
      <w:pPr>
        <w:pStyle w:val="NoSpacing"/>
        <w:jc w:val="center"/>
        <w:rPr>
          <w:rFonts w:ascii="Calibri Light" w:hAnsi="Calibri Light" w:cs="Calibri Light" w:asciiTheme="majorHAnsi" w:cstheme="majorHAnsi" w:hAnsiTheme="majorHAnsi"/>
          <w:sz w:val="22"/>
          <w:szCs w:val="22"/>
          <w:lang w:val="ru-RU" w:eastAsia="ru-RU"/>
        </w:rPr>
      </w:pPr>
      <w:r>
        <w:rPr>
          <w:rFonts w:cs="Calibri Light" w:cstheme="majorHAnsi" w:ascii="Calibri Light" w:hAnsi="Calibri Light"/>
          <w:sz w:val="22"/>
          <w:szCs w:val="22"/>
          <w:lang w:val="ru-RU"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Calibri Light" w:hAnsi="Calibri Light" w:eastAsia="Times New Roman" w:cs="Calibri Light" w:asciiTheme="majorHAnsi" w:cstheme="majorHAnsi" w:hAnsiTheme="majorHAnsi"/>
        </w:rPr>
      </w:pPr>
      <w:r>
        <w:rPr>
          <w:rFonts w:eastAsia="Times New Roman" w:cs="Calibri Light" w:ascii="Calibri Light" w:hAnsi="Calibri Light" w:asciiTheme="majorHAnsi" w:cstheme="majorHAnsi" w:hAnsiTheme="majorHAnsi"/>
        </w:rPr>
        <w:t>Дисциплина «</w:t>
      </w:r>
      <w:r>
        <w:rPr>
          <w:rFonts w:cs="Calibri Light" w:ascii="Calibri Light" w:hAnsi="Calibri Light" w:asciiTheme="majorHAnsi" w:cstheme="majorHAnsi" w:hAnsiTheme="majorHAnsi"/>
          <w:lang w:eastAsia="ru-RU"/>
        </w:rPr>
        <w:t>ВВЕДЕНИЕ В СПЕЦИАЛЬНОСТЬ</w:t>
      </w:r>
      <w:r>
        <w:rPr>
          <w:rFonts w:eastAsia="Times New Roman" w:cs="Calibri Light" w:ascii="Calibri Light" w:hAnsi="Calibri Light" w:asciiTheme="majorHAnsi" w:cstheme="majorHAnsi" w:hAnsiTheme="majorHAnsi"/>
        </w:rPr>
        <w:t>» является одной   из основополагающих элементов подготовки по специализации «Продюсер исполнительских искусств» и входит в вариативную часть учебного плана по специальности 55.05.04 «ПРОДЮСЕРСТВО».</w:t>
      </w:r>
    </w:p>
    <w:p>
      <w:pPr>
        <w:pStyle w:val="Normal"/>
        <w:spacing w:lineRule="auto" w:line="240" w:before="0" w:after="0"/>
        <w:ind w:firstLine="426"/>
        <w:jc w:val="both"/>
        <w:rPr>
          <w:rFonts w:ascii="Calibri Light" w:hAnsi="Calibri Light" w:eastAsia="Times New Roman" w:cs="Calibri Light" w:asciiTheme="majorHAnsi" w:cstheme="majorHAnsi" w:hAnsiTheme="majorHAnsi"/>
        </w:rPr>
      </w:pPr>
      <w:r>
        <w:rPr>
          <w:rFonts w:eastAsia="Times New Roman" w:cs="Calibri Light" w:cstheme="majorHAnsi" w:ascii="Calibri Light" w:hAnsi="Calibri Light"/>
        </w:rPr>
      </w:r>
    </w:p>
    <w:p>
      <w:pPr>
        <w:pStyle w:val="TableParagraph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Предмет дисциплины – овладение профессиональными навыками и методиками продюсирования и менеджмента в сфере исполнительских искусств, умением применять полученные знания в практической деятельности.</w:t>
      </w:r>
    </w:p>
    <w:p>
      <w:pPr>
        <w:pStyle w:val="TableParagraph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 xml:space="preserve">Цель дисциплины – дать углубленные представления о практике мененджмента и продюсирования исполнительских искусств, системных подходах и актуальных проблемах в этой сфере. </w:t>
      </w:r>
    </w:p>
    <w:p>
      <w:pPr>
        <w:pStyle w:val="TableParagraph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Задачи дисциплины: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 Light" w:hAnsi="Calibri Light" w:eastAsia="Times New Roman" w:cs="Calibri Light" w:asciiTheme="majorHAnsi" w:cstheme="majorHAnsi" w:hAnsiTheme="majorHAnsi"/>
          <w:u w:val="single"/>
          <w:lang w:eastAsia="ru-RU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ru-RU"/>
        </w:rPr>
        <w:t>-  освоение предусмотренных ФГОС профессиональных компетенций;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 Light" w:hAnsi="Calibri Light" w:eastAsia="Times New Roman" w:cs="Calibri Light" w:asciiTheme="majorHAnsi" w:cstheme="majorHAnsi" w:hAnsiTheme="majorHAnsi"/>
          <w:lang w:eastAsia="ru-RU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ru-RU"/>
        </w:rPr>
        <w:t>-  формирование лидерских качеств и эстетических предпочтений;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 Light" w:hAnsi="Calibri Light" w:eastAsia="Times New Roman" w:cs="Calibri Light" w:asciiTheme="majorHAnsi" w:cstheme="majorHAnsi" w:hAnsiTheme="majorHAnsi"/>
          <w:lang w:eastAsia="ru-RU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ru-RU"/>
        </w:rPr>
        <w:t>-  формирование базовых основ понимания производственных и творческих процессов в      учреждениях исполнительских искусств.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  <w:lang w:eastAsia="ru-RU"/>
        </w:rPr>
      </w:pPr>
      <w:r>
        <w:rPr>
          <w:rFonts w:eastAsia="Calibri" w:cs="Calibri Light" w:ascii="Calibri Light" w:hAnsi="Calibri Light" w:asciiTheme="majorHAnsi" w:cstheme="majorHAnsi" w:hAnsiTheme="majorHAnsi"/>
          <w:lang w:eastAsia="ru-RU"/>
        </w:rPr>
        <w:t>В процессе освоения дисциплины студент формирует и демонстрирует следующие общекультурные компетенции (ОК):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готовность к саморазвитию, самореализации, использованию творческого потенциала (ОК-3);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jc w:val="both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способность использовать основы экономических знаний при оценке эффективности результатов деятельности в различных сферах (ОК-5);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способность к самоорганизации и самообразованию (ОК-7);</w:t>
      </w:r>
    </w:p>
    <w:p>
      <w:pPr>
        <w:pStyle w:val="TableParagraph"/>
        <w:spacing w:lineRule="exact" w:line="275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 xml:space="preserve">              </w:t>
      </w:r>
      <w:r>
        <w:rPr>
          <w:rFonts w:cs="Calibri Light" w:ascii="Calibri Light" w:hAnsi="Calibri Light" w:asciiTheme="majorHAnsi" w:cstheme="majorHAnsi" w:hAnsiTheme="majorHAnsi"/>
          <w:lang w:val="ru-RU"/>
        </w:rPr>
        <w:t>общепрофессиональные компетенции (ОПК):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способность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труда, владением методами экономической оценки художественных проектов, интеллектуального труда (ОПК-1);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способность к работе в многонациональном коллективе, в том числе и над междисциплинарными, инновационными проектами, способностью в качестве руководителя подразделения, лидера группы работников формировать цели команды, принимать решения в ситуациях риска, учитывая цену ошибки, оказывать помощь работникам (ОПК- 3);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понимание значимости своей будущей специальности, стремлением к ответственному отношению к своей трудовой деятельности (ОПК-5);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способность самостоятельно или в составе группы вести творческий поиск, реализуя специальные средства и методы получения нового качества (ОПК-6);</w:t>
      </w:r>
    </w:p>
    <w:p>
      <w:pPr>
        <w:pStyle w:val="TableParagraph"/>
        <w:spacing w:lineRule="exact" w:line="275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 xml:space="preserve">              </w:t>
      </w:r>
      <w:r>
        <w:rPr>
          <w:rFonts w:cs="Calibri Light" w:ascii="Calibri Light" w:hAnsi="Calibri Light" w:asciiTheme="majorHAnsi" w:cstheme="majorHAnsi" w:hAnsiTheme="majorHAnsi"/>
          <w:lang w:val="ru-RU"/>
        </w:rPr>
        <w:t>профессиональные компетенции (ПК):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владение знаниями основ менеджмента и продюсерства (ПК-1);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способность инициировать творческие идеи художественных проектов (ПК-2);</w:t>
      </w:r>
    </w:p>
    <w:p>
      <w:pPr>
        <w:pStyle w:val="TableParagraph"/>
        <w:numPr>
          <w:ilvl w:val="0"/>
          <w:numId w:val="1"/>
        </w:numPr>
        <w:spacing w:lineRule="exact" w:line="275"/>
        <w:ind w:left="720" w:hanging="72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умение анализировать произведения литературы и искусства, выстраивать взаимоотношения с авторами (правообладателями) литературных, музыкальных и других произведений, используя при этом знания, как в области искусства, так и в сфере авторского права (ПК-4);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способность давать квалифицированную оценку творческим проектным инициативам творческих работников, в том числе, режиссеров, дирижеров, балетмейстеров, артистов, авторов драматических и музыкальных произведений и брать на себя ответственность за реализацию художественных проектов в сфере исполнительских искусств (ПСК-5.1);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готовность к творческому взаимодействию с постановщиками (режиссером, дирижером, балетмейстером, художниками) на всех этапах разработки концепции, подготовки и реализации проекта (ПСК-5.2);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способность определять оценку постановочной сложности спектакля (проекта) и его сметной стоимости, оценивать степень возможного риска, определять источники финансирования, принимать решения по наиболее рациональному использованию ресурсов, определять различные варианты маркетинговой стратегии в зависимости от характера проекта (ПСК-5.4);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способность объединять и направлять творческо-производственную деятельность постановочной группы, артистов, менеджеров и технических исполнителей, как на этапе подготовки проекта, так и в процессе проката репертуара, решать организационно-творческие проблемы в целях создания наиболее благоприятных условий для творческого процесса (ПСК-5.5);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  <w:lang w:eastAsia="ru-RU"/>
        </w:rPr>
      </w:pPr>
      <w:r>
        <w:rPr>
          <w:rFonts w:eastAsia="Calibri" w:cs="Calibri Light" w:cstheme="majorHAnsi" w:ascii="Calibri Light" w:hAnsi="Calibri Light"/>
          <w:lang w:eastAsia="ru-RU"/>
        </w:rPr>
      </w:r>
    </w:p>
    <w:p>
      <w:pPr>
        <w:pStyle w:val="TableParagraph"/>
        <w:spacing w:lineRule="exact" w:line="275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При успешном освоении материала по завершении изучения дисциплины студент должен:</w:t>
      </w:r>
    </w:p>
    <w:p>
      <w:pPr>
        <w:pStyle w:val="TableParagraph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>знать: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ru-RU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ru-RU"/>
        </w:rPr>
        <w:t xml:space="preserve">исторические предпосылки возникновения продюсерства как самостоятельного вида творческой деятельности, актуальные направления развития продюсерства в различных видах и направлениях искусства;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 xml:space="preserve">теорию и практику мастерства продюсера исполнительских искусств;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особенности продюсерской деятельности в учреждениях культуры и искусства – драматических и музыкальных театрах, филармониях, продюсерских компаниях, цирке, шоу-бизнесе и др.;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этические нормы в сфере исполнительских искусств; роль менеджера и продюсера в создании нравственного климата в организации исполнительских искусств;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функции продюсера в процессе создания и проката произведений исполнительского искусства.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 xml:space="preserve">              </w:t>
      </w:r>
      <w:r>
        <w:rPr>
          <w:rFonts w:eastAsia="Calibri" w:cs="Calibri Light" w:ascii="Calibri Light" w:hAnsi="Calibri Light" w:asciiTheme="majorHAnsi" w:cstheme="majorHAnsi" w:hAnsiTheme="majorHAnsi"/>
        </w:rPr>
        <w:t>уметь: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инициировать творческие идеи художественных проектов в области исполнительских искусств; давать квалифицированную экспертную оценку творческим проектным инициативам режиссеров, дирижеров, балетмейстеров, артистов, авторов драматических и музыкальных произведений, других творческих работников; брать на себя ответственность за реализацию художественных проектов в сфере исполнительских искусств;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 xml:space="preserve">совместно с постановщиками участвовать в разработке концепции художественного проекта, оптимальной тактики его подготовки и реализации;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творчески взаимодействовать с постановщиками (режиссером, дирижером, балетмейстером, художниками) в ходе подготовки и реализации проекта;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анализировать и решать организационно-творческие проблемы в целях создания наиболее благоприятных условий для творческого процесса;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определять оценку постановочной сложности проекта и его сметной стоимости, оценивать степень возможного риска;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осуществлять управление по одному или нескольким направлениям деятельности организации исполнительских искусств (проекта);</w:t>
      </w:r>
    </w:p>
    <w:p>
      <w:pPr>
        <w:pStyle w:val="TableParagraph"/>
        <w:spacing w:lineRule="exact" w:line="276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cstheme="majorHAnsi" w:ascii="Calibri Light" w:hAnsi="Calibri Light"/>
          <w:lang w:val="ru-RU"/>
        </w:rPr>
      </w:r>
    </w:p>
    <w:p>
      <w:pPr>
        <w:pStyle w:val="TableParagraph"/>
        <w:spacing w:lineRule="exact" w:line="276"/>
        <w:ind w:left="0" w:hanging="0"/>
        <w:rPr>
          <w:rFonts w:ascii="Calibri Light" w:hAnsi="Calibri Light" w:cs="Calibri Light" w:asciiTheme="majorHAnsi" w:cstheme="majorHAnsi" w:hAnsiTheme="majorHAnsi"/>
          <w:lang w:val="ru-RU"/>
        </w:rPr>
      </w:pPr>
      <w:r>
        <w:rPr>
          <w:rFonts w:cs="Calibri Light" w:ascii="Calibri Light" w:hAnsi="Calibri Light" w:asciiTheme="majorHAnsi" w:cstheme="majorHAnsi" w:hAnsiTheme="majorHAnsi"/>
          <w:lang w:val="ru-RU"/>
        </w:rPr>
        <w:t xml:space="preserve">              </w:t>
      </w:r>
      <w:r>
        <w:rPr>
          <w:rFonts w:cs="Calibri Light" w:ascii="Calibri Light" w:hAnsi="Calibri Light" w:asciiTheme="majorHAnsi" w:cstheme="majorHAnsi" w:hAnsiTheme="majorHAnsi"/>
          <w:lang w:val="ru-RU"/>
        </w:rPr>
        <w:t>владеть: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навыками принятия управленческих решений в области организации труда и процесса производства; информационными технологиями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720"/>
        <w:contextualSpacing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культурой мышления.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Объем дисциплины составляет 2 з.е. в том числе 36 академических часов , отведенных на контактную работу обучающихся с преподавателем, 36 академических часов на самостоятельную работу обучающихся.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ascii="Calibri Light" w:hAnsi="Calibri Light" w:asciiTheme="majorHAnsi" w:cstheme="majorHAnsi" w:hAnsiTheme="majorHAnsi"/>
        </w:rPr>
        <w:t>Формат промежуточной аттестации – зачет.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  <w:color w:val="000000" w:themeColor="text1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 w:themeColor="text1"/>
        </w:rPr>
        <w:t>Основная литература: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•</w:t>
      </w:r>
      <w:r>
        <w:rPr>
          <w:rFonts w:cs="Calibri Light" w:ascii="Calibri Light" w:hAnsi="Calibri Light" w:asciiTheme="majorHAnsi" w:cstheme="majorHAnsi" w:hAnsiTheme="majorHAnsi"/>
        </w:rPr>
        <w:tab/>
        <w:t>Гражданский кодекс Российской Федерации (ГК РФ) // [Электронный ресурс] – Режим доступа:http://www.consultant.ru/document/cons_doc_LAW_5142/.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Указ Президента РФ от 24.12.2014 № 808 «Основы государственной культурной политики» // [Электронный ресурс] – Режим доступа: http://www.kremlin.ru/events/president/news/47325.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Анашкина Н. Бренд в современной культуре / Н. Анашкина, П. Балюта, М. Сибин. Под ред. Л.М. Дмитриевой. – М.: Инфра-М, Магистр, 2015. – 200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Астратова Г.В.О необходимости исследования категориального аппарата маркетинга в сфере культуры и искусства / Г.В. Астратова, И.А. Ахьямова, Л.С. Азаренков // Вестник Северо-Кавказского федерального университета. – 2017. – № 3 (60). – С. 35-43.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Ахьямова И.А. Теоретические и практические проблемы измерения качества услуг в социальной сфере / И.А. Ахьямова, М.Г. Бурлуцкая, Л.Е. Петрова и др. // Известия высших учебных заведений. Уральский регион. – 2016. – № 3. – С. 121-125.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Винник У. Рекламные инновации как индикатор изменений в современной культуре / У. Винник. – М.: LAP Lambert Academic Publishing, 2013. – 160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ab/>
        <w:t>•</w:t>
        <w:tab/>
        <w:t>Ганина С.А. Маркетинг в сфере культуры как современный инструмент управления / С.А. Ганина // Вестник Российского нового университета. Серия: Человек и общество. – 2016. – № 1. – С. 5-9.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Гольман И.А. Искусство как товар: парадоксы и закономерности / И.А. Гольман // Знание. Понимание. Умение. – 2013. – № 2. – С. 205-212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Доброхотов А.Л. Философия культуры / А.Л. Доброхотов. – М.: ВШЭ, 2016. – 560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</w:t>
      </w:r>
      <w:bookmarkStart w:id="1" w:name="_GoBack"/>
      <w:bookmarkEnd w:id="1"/>
      <w:r>
        <w:rPr>
          <w:rFonts w:cs="Calibri Light" w:ascii="Calibri Light" w:hAnsi="Calibri Light" w:asciiTheme="majorHAnsi" w:cstheme="majorHAnsi" w:hAnsiTheme="majorHAnsi"/>
        </w:rPr>
        <w:t>•</w:t>
      </w:r>
      <w:r>
        <w:rPr>
          <w:rFonts w:cs="Calibri Light" w:ascii="Calibri Light" w:hAnsi="Calibri Light" w:asciiTheme="majorHAnsi" w:cstheme="majorHAnsi" w:hAnsiTheme="majorHAnsi"/>
        </w:rPr>
        <w:tab/>
        <w:t>Драч Г.В. Культурология / Г.В. Драч, О.М. Штомпель, Л.А. Штомпель и др. – СПб.: Питер, 2013. – 384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Колин К.К. Системный кризис культуры: структура и содержание проблемы / К.К. Колин // Стратегические приоритеты. – 2014. – № 3. – С. 6-27.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Котлер Ф. Все билеты проданы / Ф. Котлер. – М.: Классика ХХI, 2012. – 687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Лотман Ю.М. Феномен культуры. Чему учатся люди. Статьи и заметки / Ю.М. Лотман. – М.: Центр Книги Рудомино, 2010. – 88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Мазилкина Е.И. Маркетинг в отраслях и сферах деятельности / Е.И. Мазилкина. – М.: Дашков и Ко, 2013. – 300 c.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Мамедова Е.В Культурная политика / Е.В. Мамедова // Философия науки. – 2015. – № 1. – С. 163-171.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Маркова А.Н. Культурология / А.Н. Маркова. – М.: Проспект, 2013. – 376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Музычук В.Ю. Должно ли государство финансировать культуру? / В.Ю. Музычук. – М.: Институт экономики РАН, 2012. – 60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Николаенко А.С. Государственная культурная политика в современной России: вызовы времени / А.С. Николаенко // // Государственное и муниципальное управление в XXI веке: теория, методология, практика. – 2016. – № 23. – С. 25-30.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Ноздренко Е.А. Система культуры. Новые детерминанты. Реклама как фактор современного культурно-исторического процесса / Е.А. Ноздренко, Н.П. Копцева. – М.: Научная мысль, 2018. – 156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Овчинникова Д.С. Применение инструментов маркетинга в сфере культуры / Д.С. Овчинникова, Е.С. Шадрина // Скиф. Вопросы студенческой науки. – 2017. – № 15 (15). – С. 104-109.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Рубинштейн А.Я. Культура и государство: Новый взгляд / А.Я. Рубинштейн // Обсерватория культуры. – 2012. – № 2. – С. 43.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Самойленко Г.Ю. Место и значение компонента «человек» в целостной системе маркетинг-менеджмента организаций культуры / Г.Ю. Самойленко // Маркетинг в России и за рубежом. – 2016. – №1. – С. 75-81.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•</w:t>
      </w:r>
      <w:r>
        <w:rPr>
          <w:rFonts w:cs="Calibri Light" w:ascii="Calibri Light" w:hAnsi="Calibri Light" w:asciiTheme="majorHAnsi" w:cstheme="majorHAnsi" w:hAnsiTheme="majorHAnsi"/>
        </w:rPr>
        <w:tab/>
        <w:t>Сумейко А.О. Маркетинг в искусстве и культуре / А.О. Сумейко, Е.Л. Ткачёва, А.А. Пузыревская //В сборнике: Сборник материалов IX Всероссийской научно-практической конференции молодых ученых с международным участием «Россия молодая». Ответственный редактор Костюк С.Г. – 2017. – С. 76-42.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Харченко К.В. Управление проектами в сфере культуры / К.В. Харченко // Справочник руководителя учреждения культуры. – 2014. – № 6. – С. 18-27.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Человек, коммуникация, культура. Тезисы и статьи межвузовской научной конференции Санкт-Петербургского государственного университета кино и телевидения. – СПб.: Летний сад, 2015. – 420 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Шекова Е.Л. Управление учреждениями культуры в современных условиях. – М.: Планета музыки, 2014. – 416с.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>•</w:t>
        <w:tab/>
        <w:t>Шумеева М.А. Воздействие маркетинга на современную культуру / М.А. Шумеева // Интеграция наук. – 2017. – Т.2. – №2 (6). – С. 82-84.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  <w:color w:val="FF0000"/>
        </w:rPr>
      </w:pPr>
      <w:r>
        <w:rPr>
          <w:rFonts w:eastAsia="Calibri" w:cs="Calibri Light" w:cstheme="majorHAnsi" w:ascii="Calibri Light" w:hAnsi="Calibri Light"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Calibri Light" w:hAnsi="Calibri Light" w:eastAsia="Calibri" w:cs="Calibri Light" w:asciiTheme="majorHAnsi" w:cstheme="majorHAnsi" w:hAnsiTheme="majorHAnsi"/>
        </w:rPr>
      </w:pPr>
      <w:r>
        <w:rPr>
          <w:rFonts w:eastAsia="Calibri"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ru-RU"/>
        </w:rPr>
      </w:pPr>
      <w:r>
        <w:rPr>
          <w:rFonts w:eastAsia="Times New Roman" w:cs="Calibri Light" w:cstheme="majorHAnsi" w:ascii="Calibri Light" w:hAnsi="Calibri Light"/>
          <w:lang w:eastAsia="ru-RU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c2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rsid w:val="003f5c2c"/>
    <w:rPr>
      <w:rFonts w:ascii="Calibri" w:hAnsi="Calibri" w:eastAsia="Times New Roman" w:cs="Times New Roman"/>
      <w:sz w:val="20"/>
      <w:szCs w:val="20"/>
      <w:lang w:val="en-US" w:bidi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basedOn w:val="Normal"/>
    <w:link w:val="a4"/>
    <w:uiPriority w:val="1"/>
    <w:qFormat/>
    <w:rsid w:val="003f5c2c"/>
    <w:pPr>
      <w:spacing w:lineRule="auto" w:line="240" w:before="0" w:after="0"/>
      <w:jc w:val="both"/>
    </w:pPr>
    <w:rPr>
      <w:rFonts w:ascii="Calibri" w:hAnsi="Calibri" w:eastAsia="Times New Roman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3f5c2c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f5c2c"/>
    <w:pPr>
      <w:widowControl w:val="false"/>
      <w:spacing w:lineRule="auto" w:line="240" w:before="0" w:after="0"/>
      <w:ind w:left="108" w:hanging="0"/>
    </w:pPr>
    <w:rPr>
      <w:rFonts w:ascii="Times New Roman" w:hAnsi="Times New Roman" w:eastAsia="Times New Roman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4</Pages>
  <Words>1291</Words>
  <Characters>9074</Characters>
  <CharactersWithSpaces>10609</CharactersWithSpaces>
  <Paragraphs>81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2020-01-28T09:34:00Z</dcterms:created>
  <dc:creator>Lev, Grigoriy</dc:creator>
  <dc:description/>
  <dc:language>ru-RU</dc:language>
  <cp:lastModifiedBy/>
  <dcterms:modified xsi:type="dcterms:W3CDTF">2020-01-28T14:25:06Z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